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5037" w:rsidRPr="00DA654D" w:rsidRDefault="0056697C" w:rsidP="00D35B95">
      <w:pPr>
        <w:jc w:val="center"/>
        <w:rPr>
          <w:b/>
          <w:sz w:val="36"/>
          <w:szCs w:val="36"/>
          <w:lang w:val="lv-LV"/>
        </w:rPr>
      </w:pPr>
      <w:r w:rsidRPr="00DA654D">
        <w:rPr>
          <w:b/>
          <w:sz w:val="36"/>
          <w:szCs w:val="36"/>
          <w:lang w:val="lv-LV"/>
        </w:rPr>
        <w:t>SURFA’SAFE Premium</w:t>
      </w:r>
    </w:p>
    <w:p w:rsidR="0056697C" w:rsidRDefault="0056697C">
      <w:pPr>
        <w:rPr>
          <w:lang w:val="lv-LV"/>
        </w:rPr>
      </w:pPr>
      <w:r>
        <w:rPr>
          <w:lang w:val="lv-LV"/>
        </w:rPr>
        <w:t>Dezinfekcijas mazgājošās putas virsmām un medicīnas ierīcēm</w:t>
      </w:r>
    </w:p>
    <w:p w:rsidR="0056697C" w:rsidRDefault="0056697C" w:rsidP="0056697C">
      <w:pPr>
        <w:pStyle w:val="ListParagraph"/>
        <w:numPr>
          <w:ilvl w:val="0"/>
          <w:numId w:val="1"/>
        </w:numPr>
        <w:rPr>
          <w:lang w:val="lv-LV"/>
        </w:rPr>
      </w:pPr>
      <w:r>
        <w:rPr>
          <w:lang w:val="lv-LV"/>
        </w:rPr>
        <w:t>Patentēts dizains</w:t>
      </w:r>
    </w:p>
    <w:p w:rsidR="0056697C" w:rsidRDefault="0056697C" w:rsidP="0056697C">
      <w:pPr>
        <w:pStyle w:val="ListParagraph"/>
        <w:numPr>
          <w:ilvl w:val="0"/>
          <w:numId w:val="1"/>
        </w:numPr>
        <w:rPr>
          <w:lang w:val="lv-LV"/>
        </w:rPr>
      </w:pPr>
      <w:r>
        <w:rPr>
          <w:lang w:val="lv-LV"/>
        </w:rPr>
        <w:t>Nesatur alkoholu, smaržvielas un CMR</w:t>
      </w:r>
    </w:p>
    <w:p w:rsidR="0056697C" w:rsidRDefault="0056697C" w:rsidP="0056697C">
      <w:pPr>
        <w:pStyle w:val="ListParagraph"/>
        <w:numPr>
          <w:ilvl w:val="0"/>
          <w:numId w:val="1"/>
        </w:numPr>
        <w:rPr>
          <w:lang w:val="lv-LV"/>
        </w:rPr>
      </w:pPr>
      <w:r>
        <w:rPr>
          <w:lang w:val="lv-LV"/>
        </w:rPr>
        <w:t>Ātra iedarbība pret mikrobiem: baktērijām, ieskaitot BHR, rotavīrusu – no 2 minūtēm</w:t>
      </w:r>
    </w:p>
    <w:p w:rsidR="0056697C" w:rsidRDefault="0056697C" w:rsidP="0056697C">
      <w:pPr>
        <w:pStyle w:val="ListParagraph"/>
        <w:numPr>
          <w:ilvl w:val="0"/>
          <w:numId w:val="1"/>
        </w:numPr>
        <w:rPr>
          <w:lang w:val="lv-LV"/>
        </w:rPr>
      </w:pPr>
      <w:r>
        <w:rPr>
          <w:lang w:val="lv-LV"/>
        </w:rPr>
        <w:t>Augsta savietojamība ar materiāliem</w:t>
      </w:r>
    </w:p>
    <w:p w:rsidR="0056697C" w:rsidRDefault="00D35B95" w:rsidP="0056697C">
      <w:pPr>
        <w:pStyle w:val="ListParagraph"/>
        <w:numPr>
          <w:ilvl w:val="0"/>
          <w:numId w:val="1"/>
        </w:numPr>
        <w:rPr>
          <w:lang w:val="lv-LV"/>
        </w:rPr>
      </w:pPr>
      <w:r>
        <w:rPr>
          <w:noProof/>
          <w:lang w:eastAsia="ru-RU"/>
        </w:rPr>
        <w:drawing>
          <wp:anchor distT="0" distB="0" distL="114300" distR="114300" simplePos="0" relativeHeight="251659264" behindDoc="1" locked="0" layoutInCell="1" allowOverlap="1" wp14:anchorId="1BCD61A2" wp14:editId="312738A4">
            <wp:simplePos x="0" y="0"/>
            <wp:positionH relativeFrom="column">
              <wp:posOffset>1053465</wp:posOffset>
            </wp:positionH>
            <wp:positionV relativeFrom="paragraph">
              <wp:posOffset>147320</wp:posOffset>
            </wp:positionV>
            <wp:extent cx="790575" cy="758190"/>
            <wp:effectExtent l="0" t="0" r="9525" b="381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97C">
        <w:rPr>
          <w:lang w:val="lv-LV"/>
        </w:rPr>
        <w:t>Blīvas putas, lai ierobežotu aerosola pilēšanu lietošanas laikā</w:t>
      </w:r>
    </w:p>
    <w:p w:rsidR="00D35B95" w:rsidRDefault="00D35B95" w:rsidP="00D35B95">
      <w:pPr>
        <w:pStyle w:val="ListParagraph"/>
        <w:rPr>
          <w:lang w:val="lv-LV"/>
        </w:rPr>
      </w:pPr>
    </w:p>
    <w:p w:rsidR="0056697C" w:rsidRDefault="00D35B95" w:rsidP="0056697C">
      <w:pPr>
        <w:rPr>
          <w:lang w:val="lv-LV"/>
        </w:rPr>
      </w:pPr>
      <w:r>
        <w:rPr>
          <w:lang w:val="lv-LV"/>
        </w:rPr>
        <w:t xml:space="preserve">Gatavs lietošanai </w:t>
      </w:r>
    </w:p>
    <w:p w:rsidR="0056697C" w:rsidRPr="00D35B95" w:rsidRDefault="0056697C" w:rsidP="0056697C">
      <w:pPr>
        <w:rPr>
          <w:b/>
          <w:lang w:val="lv-LV"/>
        </w:rPr>
      </w:pPr>
      <w:r w:rsidRPr="00D35B95">
        <w:rPr>
          <w:b/>
          <w:lang w:val="lv-LV"/>
        </w:rPr>
        <w:t>Indikācijas</w:t>
      </w:r>
    </w:p>
    <w:p w:rsidR="0056697C" w:rsidRDefault="0056697C" w:rsidP="0056697C">
      <w:pPr>
        <w:rPr>
          <w:lang w:val="lv-LV"/>
        </w:rPr>
      </w:pPr>
      <w:r>
        <w:rPr>
          <w:lang w:val="lv-LV"/>
        </w:rPr>
        <w:t>Dezinfekcijas mazgājošās putas virsmu un aprīkojumu ārējo konstrukciju (respiratoru, hemodialīzes ģeneratoru utt.)</w:t>
      </w:r>
      <w:r w:rsidR="000221B5">
        <w:rPr>
          <w:lang w:val="lv-LV"/>
        </w:rPr>
        <w:t xml:space="preserve">, kā arī neiegremdējamu un neinvazīvu medicīnas ierīču (standarta ultraskaņas zondes, spiediena sensori, glikometri, asinsspiediena mērītāji, refleksu pārbaudes āmuri) </w:t>
      </w:r>
      <w:r>
        <w:rPr>
          <w:lang w:val="lv-LV"/>
        </w:rPr>
        <w:t xml:space="preserve"> tīrīšanai un dezinficēšanai. </w:t>
      </w:r>
    </w:p>
    <w:p w:rsidR="000221B5" w:rsidRPr="00D35B95" w:rsidRDefault="000221B5" w:rsidP="0056697C">
      <w:pPr>
        <w:rPr>
          <w:b/>
          <w:lang w:val="lv-LV"/>
        </w:rPr>
      </w:pPr>
      <w:r w:rsidRPr="00D35B95">
        <w:rPr>
          <w:b/>
          <w:lang w:val="lv-LV"/>
        </w:rPr>
        <w:t>Rakturlielumi</w:t>
      </w:r>
    </w:p>
    <w:p w:rsidR="000221B5" w:rsidRDefault="000221B5" w:rsidP="000221B5">
      <w:pPr>
        <w:pStyle w:val="ListParagraph"/>
        <w:numPr>
          <w:ilvl w:val="0"/>
          <w:numId w:val="1"/>
        </w:numPr>
        <w:rPr>
          <w:lang w:val="lv-LV"/>
        </w:rPr>
      </w:pPr>
      <w:r>
        <w:rPr>
          <w:lang w:val="lv-LV"/>
        </w:rPr>
        <w:t>Vienlaicīgi tīra un dezinficē</w:t>
      </w:r>
    </w:p>
    <w:p w:rsidR="000221B5" w:rsidRDefault="000221B5" w:rsidP="000221B5">
      <w:pPr>
        <w:pStyle w:val="ListParagraph"/>
        <w:numPr>
          <w:ilvl w:val="0"/>
          <w:numId w:val="1"/>
        </w:numPr>
        <w:rPr>
          <w:lang w:val="lv-LV"/>
        </w:rPr>
      </w:pPr>
      <w:r>
        <w:rPr>
          <w:lang w:val="lv-LV"/>
        </w:rPr>
        <w:t>Nesatur CMR, alkoholu, smaržvielas un krāsvielas</w:t>
      </w:r>
    </w:p>
    <w:p w:rsidR="000221B5" w:rsidRDefault="000221B5" w:rsidP="000221B5">
      <w:pPr>
        <w:pStyle w:val="ListParagraph"/>
        <w:numPr>
          <w:ilvl w:val="0"/>
          <w:numId w:val="1"/>
        </w:numPr>
        <w:spacing w:after="0"/>
        <w:rPr>
          <w:lang w:val="lv-LV"/>
        </w:rPr>
      </w:pPr>
      <w:r>
        <w:rPr>
          <w:lang w:val="lv-LV"/>
        </w:rPr>
        <w:t>Plašs antimikrobioloģiskais spektrs un optimizēts iedarbības laiks</w:t>
      </w:r>
    </w:p>
    <w:p w:rsidR="000A2357" w:rsidRDefault="000221B5" w:rsidP="000221B5">
      <w:pPr>
        <w:pStyle w:val="ListParagraph"/>
        <w:numPr>
          <w:ilvl w:val="0"/>
          <w:numId w:val="1"/>
        </w:numPr>
        <w:spacing w:after="0"/>
        <w:rPr>
          <w:lang w:val="lv-LV"/>
        </w:rPr>
      </w:pPr>
      <w:r>
        <w:rPr>
          <w:lang w:val="lv-LV"/>
        </w:rPr>
        <w:t xml:space="preserve">Kompakts putu dozators, lai ierobežotu aerosolu un gaistošo vielu </w:t>
      </w:r>
      <w:r w:rsidR="000A2357">
        <w:rPr>
          <w:lang w:val="lv-LV"/>
        </w:rPr>
        <w:t>veidošanos (750 ml)</w:t>
      </w:r>
    </w:p>
    <w:p w:rsidR="000A2357" w:rsidRDefault="000A2357" w:rsidP="000221B5">
      <w:pPr>
        <w:pStyle w:val="ListParagraph"/>
        <w:numPr>
          <w:ilvl w:val="0"/>
          <w:numId w:val="1"/>
        </w:numPr>
        <w:spacing w:after="0"/>
        <w:rPr>
          <w:lang w:val="lv-LV"/>
        </w:rPr>
      </w:pPr>
      <w:r>
        <w:rPr>
          <w:lang w:val="lv-LV"/>
        </w:rPr>
        <w:t>Formula savietojama ar plašu materiālu klāstu, ieskaitot polimērus (piem., polikarbonātu, organisko stiklu...)</w:t>
      </w:r>
    </w:p>
    <w:p w:rsidR="000A2357" w:rsidRDefault="000A2357" w:rsidP="000221B5">
      <w:pPr>
        <w:pStyle w:val="ListParagraph"/>
        <w:numPr>
          <w:ilvl w:val="0"/>
          <w:numId w:val="1"/>
        </w:numPr>
        <w:spacing w:after="0"/>
        <w:rPr>
          <w:lang w:val="lv-LV"/>
        </w:rPr>
      </w:pPr>
      <w:r>
        <w:rPr>
          <w:lang w:val="lv-LV"/>
        </w:rPr>
        <w:t>Blīvas putas labākai saķerei ar virsmu (750 ml)</w:t>
      </w:r>
    </w:p>
    <w:p w:rsidR="000A2357" w:rsidRDefault="000A2357" w:rsidP="000221B5">
      <w:pPr>
        <w:pStyle w:val="ListParagraph"/>
        <w:numPr>
          <w:ilvl w:val="0"/>
          <w:numId w:val="1"/>
        </w:numPr>
        <w:spacing w:after="0"/>
        <w:rPr>
          <w:lang w:val="lv-LV"/>
        </w:rPr>
      </w:pPr>
      <w:r>
        <w:rPr>
          <w:lang w:val="lv-LV"/>
        </w:rPr>
        <w:t>Nožūstot uz virsmas neatstāj tīrīšanas pēdas</w:t>
      </w:r>
    </w:p>
    <w:p w:rsidR="000A2357" w:rsidRDefault="000A2357" w:rsidP="000221B5">
      <w:pPr>
        <w:pStyle w:val="ListParagraph"/>
        <w:numPr>
          <w:ilvl w:val="0"/>
          <w:numId w:val="1"/>
        </w:numPr>
        <w:spacing w:after="0"/>
        <w:rPr>
          <w:lang w:val="lv-LV"/>
        </w:rPr>
      </w:pPr>
      <w:r>
        <w:rPr>
          <w:lang w:val="lv-LV"/>
        </w:rPr>
        <w:t>4. tipa biocīds, kuru drīkst izmantot  virsmām, kas nonāk saskarsmē ar pārtikas produktiem, pirms tam noskalojot</w:t>
      </w:r>
    </w:p>
    <w:p w:rsidR="000A2357" w:rsidRDefault="000A2357" w:rsidP="000A2357">
      <w:pPr>
        <w:pStyle w:val="ListParagraph"/>
        <w:numPr>
          <w:ilvl w:val="0"/>
          <w:numId w:val="1"/>
        </w:numPr>
        <w:spacing w:after="0"/>
        <w:rPr>
          <w:lang w:val="lv-LV"/>
        </w:rPr>
      </w:pPr>
      <w:r>
        <w:rPr>
          <w:lang w:val="lv-LV"/>
        </w:rPr>
        <w:t>Uzlabots ekotoksikoloģiskais profils: GHG*. Salīdzinot ar līdzīgiem produktiem, emisija ir samazināta par 7%</w:t>
      </w:r>
    </w:p>
    <w:p w:rsidR="000221B5" w:rsidRDefault="000A2357" w:rsidP="000221B5">
      <w:pPr>
        <w:pStyle w:val="ListParagraph"/>
        <w:numPr>
          <w:ilvl w:val="0"/>
          <w:numId w:val="1"/>
        </w:numPr>
        <w:spacing w:after="0"/>
        <w:rPr>
          <w:lang w:val="lv-LV"/>
        </w:rPr>
      </w:pPr>
      <w:r w:rsidRPr="000A2357">
        <w:rPr>
          <w:lang w:val="lv-LV"/>
        </w:rPr>
        <w:t>pH: 6 +/- 0.5</w:t>
      </w:r>
    </w:p>
    <w:p w:rsidR="000A2357" w:rsidRDefault="000A2357" w:rsidP="000A2357">
      <w:pPr>
        <w:spacing w:after="0"/>
        <w:rPr>
          <w:lang w:val="lv-LV"/>
        </w:rPr>
      </w:pPr>
    </w:p>
    <w:p w:rsidR="000A2357" w:rsidRPr="00D35B95" w:rsidRDefault="000A2357" w:rsidP="000A2357">
      <w:pPr>
        <w:spacing w:after="0"/>
        <w:rPr>
          <w:b/>
          <w:lang w:val="lv-LV"/>
        </w:rPr>
      </w:pPr>
      <w:r w:rsidRPr="00D35B95">
        <w:rPr>
          <w:b/>
          <w:lang w:val="lv-LV"/>
        </w:rPr>
        <w:t>Lietošanas instrukcija</w:t>
      </w:r>
    </w:p>
    <w:p w:rsidR="000A2357" w:rsidRDefault="00D35B95" w:rsidP="000A2357">
      <w:pPr>
        <w:spacing w:after="0"/>
        <w:rPr>
          <w:lang w:val="lv-LV"/>
        </w:rPr>
      </w:pPr>
      <w:r>
        <w:rPr>
          <w:noProof/>
          <w:lang w:eastAsia="ru-RU"/>
        </w:rPr>
        <w:drawing>
          <wp:inline distT="0" distB="0" distL="0" distR="0">
            <wp:extent cx="5934075" cy="12192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19200"/>
                    </a:xfrm>
                    <a:prstGeom prst="rect">
                      <a:avLst/>
                    </a:prstGeom>
                    <a:noFill/>
                    <a:ln>
                      <a:noFill/>
                    </a:ln>
                  </pic:spPr>
                </pic:pic>
              </a:graphicData>
            </a:graphic>
          </wp:inline>
        </w:drawing>
      </w:r>
    </w:p>
    <w:p w:rsidR="000A2357" w:rsidRDefault="000A2357" w:rsidP="000A2357">
      <w:pPr>
        <w:spacing w:after="0"/>
        <w:rPr>
          <w:lang w:val="lv-LV"/>
        </w:rPr>
      </w:pPr>
      <w:r>
        <w:rPr>
          <w:lang w:val="lv-LV"/>
        </w:rPr>
        <w:t xml:space="preserve">Uzklājiet mazgāšanas un dezinfekcijas līdzekli uz virsmas </w:t>
      </w:r>
      <w:r w:rsidR="00915DDE">
        <w:rPr>
          <w:lang w:val="lv-LV"/>
        </w:rPr>
        <w:t xml:space="preserve">vai neaustas drānas (vēlams). </w:t>
      </w:r>
    </w:p>
    <w:p w:rsidR="00915DDE" w:rsidRDefault="00915DDE" w:rsidP="000A2357">
      <w:pPr>
        <w:spacing w:after="0"/>
        <w:rPr>
          <w:lang w:val="lv-LV"/>
        </w:rPr>
      </w:pPr>
      <w:r>
        <w:rPr>
          <w:lang w:val="lv-LV"/>
        </w:rPr>
        <w:t xml:space="preserve">Uzklājiet putas uz apstrādājamās virsmas. Ievērojiet norādīto iedarbības laiku </w:t>
      </w:r>
      <w:r w:rsidR="00BD39E1">
        <w:rPr>
          <w:lang w:val="lv-LV"/>
        </w:rPr>
        <w:t>vēlamai</w:t>
      </w:r>
      <w:r>
        <w:rPr>
          <w:lang w:val="lv-LV"/>
        </w:rPr>
        <w:t xml:space="preserve"> antimikro</w:t>
      </w:r>
      <w:r w:rsidR="00BD39E1">
        <w:rPr>
          <w:lang w:val="lv-LV"/>
        </w:rPr>
        <w:t xml:space="preserve">bioloģiskai iedarbībai. </w:t>
      </w:r>
    </w:p>
    <w:p w:rsidR="00BD39E1" w:rsidRDefault="00BD39E1" w:rsidP="000A2357">
      <w:pPr>
        <w:spacing w:after="0"/>
        <w:rPr>
          <w:lang w:val="lv-LV"/>
        </w:rPr>
      </w:pPr>
      <w:r>
        <w:rPr>
          <w:lang w:val="lv-LV"/>
        </w:rPr>
        <w:t xml:space="preserve">Ļaujiet nožūt. Nenoskalojiet (izņemot gadījumos, kad iespējama virsmas saskarsme ar pārtikas produktiem vai gļotādu). </w:t>
      </w:r>
    </w:p>
    <w:p w:rsidR="00CC1DE8" w:rsidRDefault="00CC1DE8" w:rsidP="000A2357">
      <w:pPr>
        <w:spacing w:after="0"/>
        <w:rPr>
          <w:lang w:val="lv-LV"/>
        </w:rPr>
      </w:pPr>
    </w:p>
    <w:p w:rsidR="00CC1DE8" w:rsidRPr="00D35B95" w:rsidRDefault="00CC1DE8" w:rsidP="000A2357">
      <w:pPr>
        <w:spacing w:after="0"/>
        <w:rPr>
          <w:b/>
          <w:lang w:val="lv-LV"/>
        </w:rPr>
      </w:pPr>
      <w:r w:rsidRPr="00D35B95">
        <w:rPr>
          <w:b/>
          <w:lang w:val="lv-LV"/>
        </w:rPr>
        <w:t>Sastāvs</w:t>
      </w:r>
    </w:p>
    <w:p w:rsidR="00CC1DE8" w:rsidRDefault="00CC1DE8" w:rsidP="000A2357">
      <w:pPr>
        <w:spacing w:after="0"/>
        <w:rPr>
          <w:lang w:val="lv-LV"/>
        </w:rPr>
      </w:pPr>
      <w:r>
        <w:rPr>
          <w:lang w:val="lv-LV"/>
        </w:rPr>
        <w:t xml:space="preserve">Didecildimetiamonija hlorīds (CAS Nr. 7173 – 51 – 5:3 mg/g), palīgvielas. </w:t>
      </w:r>
    </w:p>
    <w:p w:rsidR="00CC1DE8" w:rsidRDefault="00CC1DE8" w:rsidP="000A2357">
      <w:pPr>
        <w:spacing w:after="0"/>
        <w:rPr>
          <w:lang w:val="lv-LV"/>
        </w:rPr>
      </w:pPr>
    </w:p>
    <w:p w:rsidR="00CC1DE8" w:rsidRPr="008729FB" w:rsidRDefault="00CC1DE8" w:rsidP="00CC1DE8">
      <w:pPr>
        <w:spacing w:after="0"/>
        <w:jc w:val="both"/>
        <w:rPr>
          <w:b/>
          <w:lang w:val="lv-LV"/>
        </w:rPr>
      </w:pPr>
      <w:r w:rsidRPr="008729FB">
        <w:rPr>
          <w:b/>
          <w:lang w:val="lv-LV"/>
        </w:rPr>
        <w:t>Piesardzības pasākumi lietošanai</w:t>
      </w:r>
    </w:p>
    <w:p w:rsidR="00CC1DE8" w:rsidRDefault="00CC1DE8" w:rsidP="000A2357">
      <w:pPr>
        <w:spacing w:after="0"/>
        <w:rPr>
          <w:lang w:val="lv-LV"/>
        </w:rPr>
      </w:pPr>
      <w:r>
        <w:rPr>
          <w:lang w:val="lv-LV"/>
        </w:rPr>
        <w:t>Bīstami – ievērot piesardzības pasākumus lietošanai (sagatavoti, saskaņā ar Eiropas spēkā esošiem noteikumiem par ķīmisko izstrādājumu klasifikāciju un marķēšanu). Lietot biocīdos līdzekļus uzmanīgi. Pirms katras lietošanas izlasīt marķējumu un informāciju par šo produktu. Uzglabāt temperatūrā no +5°C līdz +35°C. Biocīds produkts virsmu dezinficēšanai ar/bez saskarsmes ar  pārtikas produktiem  (galvenā grupa 1 – PT 2 un 4), medicīnas ierīču klase IIa  – tikai profesionālai lietošanai.</w:t>
      </w:r>
    </w:p>
    <w:p w:rsidR="00CC1DE8" w:rsidRDefault="00CC1DE8" w:rsidP="000A2357">
      <w:pPr>
        <w:spacing w:after="0"/>
        <w:rPr>
          <w:lang w:val="lv-LV"/>
        </w:rPr>
      </w:pPr>
    </w:p>
    <w:p w:rsidR="00CC1DE8" w:rsidRPr="008729FB" w:rsidRDefault="00CC1DE8" w:rsidP="00CC1DE8">
      <w:pPr>
        <w:jc w:val="both"/>
        <w:rPr>
          <w:b/>
          <w:lang w:val="lv-LV"/>
        </w:rPr>
      </w:pPr>
      <w:r w:rsidRPr="008729FB">
        <w:rPr>
          <w:b/>
          <w:lang w:val="lv-LV"/>
        </w:rPr>
        <w:t>Mikrobioloģiskās īpašības</w:t>
      </w:r>
    </w:p>
    <w:tbl>
      <w:tblPr>
        <w:tblStyle w:val="TableGrid"/>
        <w:tblW w:w="0" w:type="auto"/>
        <w:tblLook w:val="04A0" w:firstRow="1" w:lastRow="0" w:firstColumn="1" w:lastColumn="0" w:noHBand="0" w:noVBand="1"/>
      </w:tblPr>
      <w:tblGrid>
        <w:gridCol w:w="1621"/>
        <w:gridCol w:w="5817"/>
        <w:gridCol w:w="1907"/>
      </w:tblGrid>
      <w:tr w:rsidR="00CC1DE8" w:rsidTr="00CC1DE8">
        <w:tc>
          <w:tcPr>
            <w:tcW w:w="1636" w:type="dxa"/>
          </w:tcPr>
          <w:p w:rsidR="00CC1DE8" w:rsidRDefault="00CC1DE8" w:rsidP="00B41669">
            <w:pPr>
              <w:jc w:val="both"/>
              <w:rPr>
                <w:lang w:val="lv-LV"/>
              </w:rPr>
            </w:pPr>
            <w:r>
              <w:rPr>
                <w:lang w:val="lv-LV"/>
              </w:rPr>
              <w:t>Iedarbība pret</w:t>
            </w:r>
          </w:p>
        </w:tc>
        <w:tc>
          <w:tcPr>
            <w:tcW w:w="5999" w:type="dxa"/>
          </w:tcPr>
          <w:p w:rsidR="00CC1DE8" w:rsidRDefault="00CC1DE8" w:rsidP="00B41669">
            <w:pPr>
              <w:jc w:val="both"/>
              <w:rPr>
                <w:lang w:val="lv-LV"/>
              </w:rPr>
            </w:pPr>
            <w:r>
              <w:rPr>
                <w:lang w:val="lv-LV"/>
              </w:rPr>
              <w:t>Standarti</w:t>
            </w:r>
          </w:p>
        </w:tc>
        <w:tc>
          <w:tcPr>
            <w:tcW w:w="1936" w:type="dxa"/>
          </w:tcPr>
          <w:p w:rsidR="00CC1DE8" w:rsidRDefault="00CC1DE8" w:rsidP="00B41669">
            <w:pPr>
              <w:jc w:val="both"/>
              <w:rPr>
                <w:lang w:val="lv-LV"/>
              </w:rPr>
            </w:pPr>
            <w:r>
              <w:rPr>
                <w:lang w:val="lv-LV"/>
              </w:rPr>
              <w:t>Saskarsmes laiks</w:t>
            </w:r>
          </w:p>
        </w:tc>
      </w:tr>
      <w:tr w:rsidR="00CC1DE8" w:rsidRPr="00CC1DE8" w:rsidTr="00CC1DE8">
        <w:tc>
          <w:tcPr>
            <w:tcW w:w="1636" w:type="dxa"/>
          </w:tcPr>
          <w:p w:rsidR="00CC1DE8" w:rsidRDefault="00CC1DE8" w:rsidP="00B41669">
            <w:pPr>
              <w:jc w:val="both"/>
              <w:rPr>
                <w:lang w:val="lv-LV"/>
              </w:rPr>
            </w:pPr>
            <w:r>
              <w:rPr>
                <w:lang w:val="lv-LV"/>
              </w:rPr>
              <w:t>Baktērijām</w:t>
            </w:r>
          </w:p>
        </w:tc>
        <w:tc>
          <w:tcPr>
            <w:tcW w:w="5999" w:type="dxa"/>
          </w:tcPr>
          <w:p w:rsidR="00CC1DE8" w:rsidRDefault="00CC1DE8" w:rsidP="00B41669">
            <w:pPr>
              <w:jc w:val="both"/>
              <w:rPr>
                <w:lang w:val="lv-LV"/>
              </w:rPr>
            </w:pPr>
            <w:r>
              <w:rPr>
                <w:lang w:val="lv-LV"/>
              </w:rPr>
              <w:t>EN 1040, EN 13727, EN 13697</w:t>
            </w:r>
          </w:p>
          <w:p w:rsidR="00CC1DE8" w:rsidRDefault="00DE6428" w:rsidP="00B41669">
            <w:pPr>
              <w:jc w:val="both"/>
              <w:rPr>
                <w:lang w:val="lv-LV"/>
              </w:rPr>
            </w:pPr>
            <w:r>
              <w:rPr>
                <w:lang w:val="lv-LV"/>
              </w:rPr>
              <w:t xml:space="preserve">Saskaņā ar EN 13727 iedarbīgs pret ERV, A.baumannii </w:t>
            </w:r>
            <w:r>
              <w:rPr>
                <w:rFonts w:ascii="Arial" w:hAnsi="Arial" w:cs="Arial"/>
                <w:lang w:val="lv-LV"/>
              </w:rPr>
              <w:t>β</w:t>
            </w:r>
            <w:r>
              <w:rPr>
                <w:lang w:val="lv-LV"/>
              </w:rPr>
              <w:t>LSE, E. coli OXA 48, K. pneumoniae OXA 48, SARM, Lysteria monocitogenes, Salmonella enteritidis</w:t>
            </w:r>
            <w:r w:rsidR="00CC1DE8">
              <w:rPr>
                <w:lang w:val="lv-LV"/>
              </w:rPr>
              <w:t xml:space="preserve"> </w:t>
            </w:r>
          </w:p>
          <w:p w:rsidR="00DE6428" w:rsidRDefault="00DE6428" w:rsidP="00DE6428">
            <w:pPr>
              <w:jc w:val="both"/>
              <w:rPr>
                <w:lang w:val="lv-LV"/>
              </w:rPr>
            </w:pPr>
            <w:r>
              <w:rPr>
                <w:lang w:val="lv-LV"/>
              </w:rPr>
              <w:t xml:space="preserve">Saskaņā ar EN 13697 iedarbīgs pret ERV, A.baumannii </w:t>
            </w:r>
            <w:r>
              <w:rPr>
                <w:rFonts w:ascii="Arial" w:hAnsi="Arial" w:cs="Arial"/>
                <w:lang w:val="lv-LV"/>
              </w:rPr>
              <w:t>β</w:t>
            </w:r>
            <w:r>
              <w:rPr>
                <w:lang w:val="lv-LV"/>
              </w:rPr>
              <w:t xml:space="preserve">LSE, E. coli OXA 48, E.clocae OXA 48, SARM, Lysteria monocitogenes, Salmonella enteritidis </w:t>
            </w:r>
          </w:p>
          <w:p w:rsidR="00DE6428" w:rsidRDefault="00DE6428" w:rsidP="00B41669">
            <w:pPr>
              <w:jc w:val="both"/>
              <w:rPr>
                <w:lang w:val="lv-LV"/>
              </w:rPr>
            </w:pPr>
          </w:p>
        </w:tc>
        <w:tc>
          <w:tcPr>
            <w:tcW w:w="1936" w:type="dxa"/>
          </w:tcPr>
          <w:p w:rsidR="00CC1DE8" w:rsidRDefault="00CC1DE8" w:rsidP="00B41669">
            <w:pPr>
              <w:jc w:val="both"/>
              <w:rPr>
                <w:lang w:val="lv-LV"/>
              </w:rPr>
            </w:pPr>
            <w:r>
              <w:rPr>
                <w:lang w:val="lv-LV"/>
              </w:rPr>
              <w:t>2 minūtes</w:t>
            </w:r>
          </w:p>
          <w:p w:rsidR="00CC1DE8" w:rsidRDefault="00DE6428" w:rsidP="00B41669">
            <w:pPr>
              <w:jc w:val="both"/>
              <w:rPr>
                <w:lang w:val="lv-LV"/>
              </w:rPr>
            </w:pPr>
            <w:r>
              <w:rPr>
                <w:lang w:val="lv-LV"/>
              </w:rPr>
              <w:t>1 minūte</w:t>
            </w:r>
          </w:p>
          <w:p w:rsidR="00DE6428" w:rsidRDefault="00DE6428" w:rsidP="00B41669">
            <w:pPr>
              <w:jc w:val="both"/>
              <w:rPr>
                <w:lang w:val="lv-LV"/>
              </w:rPr>
            </w:pPr>
          </w:p>
          <w:p w:rsidR="00DE6428" w:rsidRDefault="00DE6428" w:rsidP="00B41669">
            <w:pPr>
              <w:jc w:val="both"/>
              <w:rPr>
                <w:lang w:val="lv-LV"/>
              </w:rPr>
            </w:pPr>
          </w:p>
          <w:p w:rsidR="00DE6428" w:rsidRDefault="00DE6428" w:rsidP="00B41669">
            <w:pPr>
              <w:jc w:val="both"/>
              <w:rPr>
                <w:lang w:val="lv-LV"/>
              </w:rPr>
            </w:pPr>
            <w:r>
              <w:rPr>
                <w:lang w:val="lv-LV"/>
              </w:rPr>
              <w:t>2 minūtes</w:t>
            </w:r>
          </w:p>
        </w:tc>
      </w:tr>
      <w:tr w:rsidR="00CC1DE8" w:rsidRPr="00CC1DE8" w:rsidTr="00CC1DE8">
        <w:tc>
          <w:tcPr>
            <w:tcW w:w="1636" w:type="dxa"/>
          </w:tcPr>
          <w:p w:rsidR="00CC1DE8" w:rsidRDefault="00CC1DE8" w:rsidP="00B41669">
            <w:pPr>
              <w:jc w:val="both"/>
              <w:rPr>
                <w:lang w:val="lv-LV"/>
              </w:rPr>
            </w:pPr>
            <w:r>
              <w:rPr>
                <w:lang w:val="lv-LV"/>
              </w:rPr>
              <w:t>Raugu sēnītēm</w:t>
            </w:r>
          </w:p>
        </w:tc>
        <w:tc>
          <w:tcPr>
            <w:tcW w:w="5999" w:type="dxa"/>
          </w:tcPr>
          <w:p w:rsidR="00CC1DE8" w:rsidRDefault="00CC1DE8" w:rsidP="00DE6428">
            <w:pPr>
              <w:jc w:val="both"/>
              <w:rPr>
                <w:lang w:val="lv-LV"/>
              </w:rPr>
            </w:pPr>
            <w:r>
              <w:rPr>
                <w:lang w:val="lv-LV"/>
              </w:rPr>
              <w:t>EN 1275, EN 13697</w:t>
            </w:r>
          </w:p>
          <w:p w:rsidR="00DE6428" w:rsidRDefault="00DE6428" w:rsidP="00DE6428">
            <w:pPr>
              <w:jc w:val="both"/>
              <w:rPr>
                <w:lang w:val="lv-LV"/>
              </w:rPr>
            </w:pPr>
            <w:r>
              <w:rPr>
                <w:lang w:val="lv-LV"/>
              </w:rPr>
              <w:t>EN 13624</w:t>
            </w:r>
          </w:p>
        </w:tc>
        <w:tc>
          <w:tcPr>
            <w:tcW w:w="1936" w:type="dxa"/>
          </w:tcPr>
          <w:p w:rsidR="00CC1DE8" w:rsidRDefault="00CC1DE8" w:rsidP="00B41669">
            <w:pPr>
              <w:jc w:val="both"/>
              <w:rPr>
                <w:lang w:val="lv-LV"/>
              </w:rPr>
            </w:pPr>
            <w:r>
              <w:rPr>
                <w:lang w:val="lv-LV"/>
              </w:rPr>
              <w:t>5 minūtes</w:t>
            </w:r>
          </w:p>
          <w:p w:rsidR="00DE6428" w:rsidRDefault="00DE6428" w:rsidP="00B41669">
            <w:pPr>
              <w:jc w:val="both"/>
              <w:rPr>
                <w:lang w:val="lv-LV"/>
              </w:rPr>
            </w:pPr>
            <w:r>
              <w:rPr>
                <w:lang w:val="lv-LV"/>
              </w:rPr>
              <w:t>2 minūtes</w:t>
            </w:r>
          </w:p>
        </w:tc>
      </w:tr>
      <w:tr w:rsidR="00CC1DE8" w:rsidTr="00CC1DE8">
        <w:tc>
          <w:tcPr>
            <w:tcW w:w="1636" w:type="dxa"/>
          </w:tcPr>
          <w:p w:rsidR="00CC1DE8" w:rsidRDefault="00CC1DE8" w:rsidP="00B41669">
            <w:pPr>
              <w:jc w:val="both"/>
              <w:rPr>
                <w:lang w:val="lv-LV"/>
              </w:rPr>
            </w:pPr>
            <w:r>
              <w:rPr>
                <w:lang w:val="lv-LV"/>
              </w:rPr>
              <w:t>Pelējumiem</w:t>
            </w:r>
          </w:p>
        </w:tc>
        <w:tc>
          <w:tcPr>
            <w:tcW w:w="5999" w:type="dxa"/>
          </w:tcPr>
          <w:p w:rsidR="00CC1DE8" w:rsidRDefault="00CC1DE8" w:rsidP="00B41669">
            <w:pPr>
              <w:jc w:val="both"/>
              <w:rPr>
                <w:lang w:val="lv-LV"/>
              </w:rPr>
            </w:pPr>
            <w:r>
              <w:rPr>
                <w:lang w:val="lv-LV"/>
              </w:rPr>
              <w:t>EN 1275, EN 13624, EN 13697</w:t>
            </w:r>
          </w:p>
          <w:p w:rsidR="00DE6428" w:rsidRDefault="00DE6428" w:rsidP="00B41669">
            <w:pPr>
              <w:jc w:val="both"/>
              <w:rPr>
                <w:lang w:val="lv-LV"/>
              </w:rPr>
            </w:pPr>
            <w:r>
              <w:rPr>
                <w:lang w:val="lv-LV"/>
              </w:rPr>
              <w:t>Saskaņā ar EN 13624, EN 13697: iedarbīgs pret Aspergillus fumigatus un Tricophyton mentagrophytes</w:t>
            </w:r>
          </w:p>
        </w:tc>
        <w:tc>
          <w:tcPr>
            <w:tcW w:w="1936" w:type="dxa"/>
          </w:tcPr>
          <w:p w:rsidR="00CC1DE8" w:rsidRDefault="00CC1DE8" w:rsidP="00B41669">
            <w:pPr>
              <w:jc w:val="both"/>
              <w:rPr>
                <w:lang w:val="lv-LV"/>
              </w:rPr>
            </w:pPr>
            <w:r>
              <w:rPr>
                <w:lang w:val="lv-LV"/>
              </w:rPr>
              <w:t>20 minūtes</w:t>
            </w:r>
          </w:p>
          <w:p w:rsidR="00DE6428" w:rsidRDefault="00DE6428" w:rsidP="00B41669">
            <w:pPr>
              <w:jc w:val="both"/>
              <w:rPr>
                <w:lang w:val="lv-LV"/>
              </w:rPr>
            </w:pPr>
            <w:r>
              <w:rPr>
                <w:lang w:val="lv-LV"/>
              </w:rPr>
              <w:t>15 minūtes</w:t>
            </w:r>
          </w:p>
        </w:tc>
      </w:tr>
      <w:tr w:rsidR="00CC1DE8" w:rsidTr="00CC1DE8">
        <w:tc>
          <w:tcPr>
            <w:tcW w:w="1636" w:type="dxa"/>
          </w:tcPr>
          <w:p w:rsidR="00CC1DE8" w:rsidRDefault="00CC1DE8" w:rsidP="00B41669">
            <w:pPr>
              <w:jc w:val="both"/>
              <w:rPr>
                <w:lang w:val="lv-LV"/>
              </w:rPr>
            </w:pPr>
            <w:r>
              <w:rPr>
                <w:lang w:val="lv-LV"/>
              </w:rPr>
              <w:t>Vīrusiem</w:t>
            </w:r>
          </w:p>
        </w:tc>
        <w:tc>
          <w:tcPr>
            <w:tcW w:w="5999" w:type="dxa"/>
          </w:tcPr>
          <w:p w:rsidR="008012A5" w:rsidRDefault="008012A5" w:rsidP="00B41669">
            <w:pPr>
              <w:jc w:val="both"/>
              <w:rPr>
                <w:lang w:val="lv-LV"/>
              </w:rPr>
            </w:pPr>
            <w:r>
              <w:rPr>
                <w:lang w:val="lv-LV"/>
              </w:rPr>
              <w:t>EN 14476: adenovīruss, MNV</w:t>
            </w:r>
          </w:p>
          <w:p w:rsidR="00CC1DE8" w:rsidRDefault="008012A5" w:rsidP="008012A5">
            <w:pPr>
              <w:jc w:val="both"/>
              <w:rPr>
                <w:lang w:val="lv-LV"/>
              </w:rPr>
            </w:pPr>
            <w:r>
              <w:rPr>
                <w:lang w:val="lv-LV"/>
              </w:rPr>
              <w:t xml:space="preserve">Saskaņā ar EN 14476: iedarbīgs pret </w:t>
            </w:r>
            <w:r w:rsidR="00CC1DE8">
              <w:rPr>
                <w:lang w:val="lv-LV"/>
              </w:rPr>
              <w:t xml:space="preserve">HIV-1, </w:t>
            </w:r>
            <w:r>
              <w:rPr>
                <w:lang w:val="lv-LV"/>
              </w:rPr>
              <w:t>PRV (HBV surogātu), V</w:t>
            </w:r>
            <w:r w:rsidR="00CC1DE8">
              <w:rPr>
                <w:lang w:val="lv-LV"/>
              </w:rPr>
              <w:t>akcī</w:t>
            </w:r>
            <w:r>
              <w:rPr>
                <w:lang w:val="lv-LV"/>
              </w:rPr>
              <w:t>nija vīrusu*</w:t>
            </w:r>
            <w:r w:rsidR="00CC1DE8">
              <w:rPr>
                <w:lang w:val="lv-LV"/>
              </w:rPr>
              <w:t xml:space="preserve">, </w:t>
            </w:r>
            <w:r>
              <w:rPr>
                <w:lang w:val="lv-LV"/>
              </w:rPr>
              <w:t>HSV, rotavīrusu</w:t>
            </w:r>
            <w:r w:rsidR="00CC1DE8">
              <w:rPr>
                <w:lang w:val="lv-LV"/>
              </w:rPr>
              <w:t>, VRS</w:t>
            </w:r>
          </w:p>
          <w:p w:rsidR="008012A5" w:rsidRDefault="008012A5" w:rsidP="008012A5">
            <w:pPr>
              <w:jc w:val="both"/>
              <w:rPr>
                <w:lang w:val="lv-LV"/>
              </w:rPr>
            </w:pPr>
            <w:r>
              <w:rPr>
                <w:lang w:val="lv-LV"/>
              </w:rPr>
              <w:t>Saskaņā ar EN 14476: iedarbīgs pret poliovīrusu SV 40, koronavīrusu</w:t>
            </w:r>
          </w:p>
        </w:tc>
        <w:tc>
          <w:tcPr>
            <w:tcW w:w="1936" w:type="dxa"/>
          </w:tcPr>
          <w:p w:rsidR="00CC1DE8" w:rsidRDefault="008012A5" w:rsidP="00B41669">
            <w:pPr>
              <w:jc w:val="both"/>
              <w:rPr>
                <w:lang w:val="lv-LV"/>
              </w:rPr>
            </w:pPr>
            <w:r>
              <w:rPr>
                <w:lang w:val="lv-LV"/>
              </w:rPr>
              <w:t>1 minūte</w:t>
            </w:r>
          </w:p>
          <w:p w:rsidR="008012A5" w:rsidRDefault="008012A5" w:rsidP="00B41669">
            <w:pPr>
              <w:jc w:val="both"/>
              <w:rPr>
                <w:lang w:val="lv-LV"/>
              </w:rPr>
            </w:pPr>
          </w:p>
          <w:p w:rsidR="008012A5" w:rsidRDefault="008012A5" w:rsidP="00B41669">
            <w:pPr>
              <w:jc w:val="both"/>
              <w:rPr>
                <w:lang w:val="lv-LV"/>
              </w:rPr>
            </w:pPr>
          </w:p>
          <w:p w:rsidR="008012A5" w:rsidRDefault="008012A5" w:rsidP="00B41669">
            <w:pPr>
              <w:jc w:val="both"/>
              <w:rPr>
                <w:lang w:val="lv-LV"/>
              </w:rPr>
            </w:pPr>
            <w:r>
              <w:rPr>
                <w:lang w:val="lv-LV"/>
              </w:rPr>
              <w:t>5 minūtes</w:t>
            </w:r>
          </w:p>
        </w:tc>
      </w:tr>
    </w:tbl>
    <w:p w:rsidR="00CC1DE8" w:rsidRDefault="008012A5" w:rsidP="00A0224E">
      <w:pPr>
        <w:spacing w:after="0"/>
        <w:jc w:val="both"/>
        <w:rPr>
          <w:lang w:val="lv-LV"/>
        </w:rPr>
      </w:pPr>
      <w:r>
        <w:rPr>
          <w:lang w:val="lv-LV"/>
        </w:rPr>
        <w:t>* Robert Koch institūts Institute iesaka izmantot dezinfekcijas līdzekļus, kuri</w:t>
      </w:r>
      <w:r w:rsidR="00A0224E">
        <w:rPr>
          <w:lang w:val="lv-LV"/>
        </w:rPr>
        <w:t xml:space="preserve">iem piemīt “begrenzt viruzid wirksan” jeb vīrusus ierobežojoša iedarbība, kas pārrauj inficēšanās ķēdi. Saskaņā ar RKI, ierobežotā vīrusu iedarbība atbilst iedarbībai pret Vakcīnija vīrusu un BVDV. </w:t>
      </w:r>
    </w:p>
    <w:p w:rsidR="00A0224E" w:rsidRDefault="00D35B95" w:rsidP="00CC1DE8">
      <w:pPr>
        <w:jc w:val="both"/>
        <w:rPr>
          <w:lang w:val="lv-LV"/>
        </w:rPr>
      </w:pPr>
      <w:r>
        <w:rPr>
          <w:noProof/>
          <w:lang w:eastAsia="ru-RU"/>
        </w:rPr>
        <w:drawing>
          <wp:anchor distT="0" distB="0" distL="114300" distR="114300" simplePos="0" relativeHeight="251658240" behindDoc="1" locked="0" layoutInCell="1" allowOverlap="1" wp14:anchorId="72667297" wp14:editId="5F46F4E1">
            <wp:simplePos x="0" y="0"/>
            <wp:positionH relativeFrom="column">
              <wp:posOffset>3672840</wp:posOffset>
            </wp:positionH>
            <wp:positionV relativeFrom="paragraph">
              <wp:posOffset>289560</wp:posOffset>
            </wp:positionV>
            <wp:extent cx="1466850" cy="1304925"/>
            <wp:effectExtent l="0" t="0" r="0" b="9525"/>
            <wp:wrapTight wrapText="bothSides">
              <wp:wrapPolygon edited="0">
                <wp:start x="0" y="0"/>
                <wp:lineTo x="0" y="21442"/>
                <wp:lineTo x="21319" y="21442"/>
                <wp:lineTo x="21319"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24E">
        <w:rPr>
          <w:lang w:val="lv-LV"/>
        </w:rPr>
        <w:t>Visa produkta antimikrobā aktivitāte ir iekļauta zinātniskajā dokumentācijā, kas pieejama pēc pieprasījuma.</w:t>
      </w:r>
    </w:p>
    <w:p w:rsidR="00CC1DE8" w:rsidRDefault="00CC1DE8" w:rsidP="00CC1DE8">
      <w:pPr>
        <w:jc w:val="both"/>
        <w:rPr>
          <w:b/>
          <w:lang w:val="lv-LV"/>
        </w:rPr>
      </w:pPr>
      <w:r>
        <w:rPr>
          <w:b/>
          <w:lang w:val="lv-LV"/>
        </w:rPr>
        <w:t>Iepakojums</w:t>
      </w:r>
    </w:p>
    <w:p w:rsidR="00CC1DE8" w:rsidRDefault="00CC1DE8" w:rsidP="00A0224E">
      <w:pPr>
        <w:spacing w:after="0"/>
        <w:jc w:val="both"/>
        <w:rPr>
          <w:lang w:val="lv-LV"/>
        </w:rPr>
      </w:pPr>
      <w:r>
        <w:rPr>
          <w:lang w:val="lv-LV"/>
        </w:rPr>
        <w:t xml:space="preserve">* 12 </w:t>
      </w:r>
      <w:r w:rsidR="00A0224E">
        <w:rPr>
          <w:lang w:val="lv-LV"/>
        </w:rPr>
        <w:t>pudeles</w:t>
      </w:r>
      <w:r>
        <w:rPr>
          <w:lang w:val="lv-LV"/>
        </w:rPr>
        <w:t xml:space="preserve">, </w:t>
      </w:r>
      <w:r w:rsidR="00A0224E">
        <w:rPr>
          <w:lang w:val="lv-LV"/>
        </w:rPr>
        <w:t>750 ml katra, ar putu dozatoru</w:t>
      </w:r>
      <w:r>
        <w:rPr>
          <w:lang w:val="lv-LV"/>
        </w:rPr>
        <w:tab/>
      </w:r>
      <w:r w:rsidR="00A0224E">
        <w:rPr>
          <w:lang w:val="lv-LV"/>
        </w:rPr>
        <w:t>2419.544</w:t>
      </w:r>
    </w:p>
    <w:p w:rsidR="00A0224E" w:rsidRDefault="00A0224E" w:rsidP="00A0224E">
      <w:pPr>
        <w:spacing w:after="0"/>
        <w:jc w:val="both"/>
        <w:rPr>
          <w:lang w:val="lv-LV"/>
        </w:rPr>
      </w:pPr>
      <w:r>
        <w:rPr>
          <w:lang w:val="lv-LV"/>
        </w:rPr>
        <w:t>Pieejams neputojoša šķīduma veidā:</w:t>
      </w:r>
    </w:p>
    <w:p w:rsidR="00A0224E" w:rsidRDefault="00A0224E" w:rsidP="00CC1DE8">
      <w:pPr>
        <w:jc w:val="both"/>
        <w:rPr>
          <w:lang w:val="lv-LV"/>
        </w:rPr>
      </w:pPr>
      <w:r>
        <w:rPr>
          <w:lang w:val="lv-LV"/>
        </w:rPr>
        <w:t>* 16 pudeles, 500 ml katra</w:t>
      </w:r>
      <w:r>
        <w:rPr>
          <w:lang w:val="lv-LV"/>
        </w:rPr>
        <w:tab/>
      </w:r>
      <w:r>
        <w:rPr>
          <w:lang w:val="lv-LV"/>
        </w:rPr>
        <w:tab/>
      </w:r>
      <w:r>
        <w:rPr>
          <w:lang w:val="lv-LV"/>
        </w:rPr>
        <w:tab/>
        <w:t>2419.105</w:t>
      </w:r>
    </w:p>
    <w:p w:rsidR="00D35B95" w:rsidRPr="008729FB" w:rsidRDefault="00D35B95" w:rsidP="00CC1DE8">
      <w:pPr>
        <w:jc w:val="both"/>
        <w:rPr>
          <w:lang w:val="lv-LV"/>
        </w:rPr>
      </w:pPr>
    </w:p>
    <w:p w:rsidR="00CC1DE8" w:rsidRPr="000A2357" w:rsidRDefault="00CC1DE8" w:rsidP="000A2357">
      <w:pPr>
        <w:spacing w:after="0"/>
        <w:rPr>
          <w:lang w:val="lv-LV"/>
        </w:rPr>
      </w:pPr>
    </w:p>
    <w:sectPr w:rsidR="00CC1DE8" w:rsidRPr="000A2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02AD5"/>
    <w:multiLevelType w:val="hybridMultilevel"/>
    <w:tmpl w:val="0930EA0C"/>
    <w:lvl w:ilvl="0" w:tplc="5D3299C0">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451CCB"/>
    <w:multiLevelType w:val="hybridMultilevel"/>
    <w:tmpl w:val="7A2A0670"/>
    <w:lvl w:ilvl="0" w:tplc="69600192">
      <w:start w:val="1"/>
      <w:numFmt w:val="bullet"/>
      <w:lvlText w:val=""/>
      <w:lvlJc w:val="left"/>
      <w:pPr>
        <w:ind w:left="360" w:hanging="360"/>
      </w:pPr>
      <w:rPr>
        <w:rFonts w:ascii="Symbol" w:eastAsiaTheme="minorHAnsi" w:hAnsi="Symbol"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135487253">
    <w:abstractNumId w:val="0"/>
  </w:num>
  <w:num w:numId="2" w16cid:durableId="1499421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7C"/>
    <w:rsid w:val="000221B5"/>
    <w:rsid w:val="000A2357"/>
    <w:rsid w:val="003C4F9E"/>
    <w:rsid w:val="0056697C"/>
    <w:rsid w:val="00724280"/>
    <w:rsid w:val="007C5B77"/>
    <w:rsid w:val="008012A5"/>
    <w:rsid w:val="00915DDE"/>
    <w:rsid w:val="00A0224E"/>
    <w:rsid w:val="00B95037"/>
    <w:rsid w:val="00BD39E1"/>
    <w:rsid w:val="00C02805"/>
    <w:rsid w:val="00C104F7"/>
    <w:rsid w:val="00CC1DE8"/>
    <w:rsid w:val="00D35B95"/>
    <w:rsid w:val="00DA654D"/>
    <w:rsid w:val="00DE6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57758-1A03-4ECC-9F27-C11BB67E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7C"/>
    <w:pPr>
      <w:ind w:left="720"/>
      <w:contextualSpacing/>
    </w:pPr>
  </w:style>
  <w:style w:type="table" w:styleId="TableGrid">
    <w:name w:val="Table Grid"/>
    <w:basedOn w:val="TableNormal"/>
    <w:uiPriority w:val="59"/>
    <w:rsid w:val="00CC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556</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Liene Blekte</cp:lastModifiedBy>
  <cp:revision>2</cp:revision>
  <dcterms:created xsi:type="dcterms:W3CDTF">2023-02-20T11:38:00Z</dcterms:created>
  <dcterms:modified xsi:type="dcterms:W3CDTF">2023-02-20T11:38:00Z</dcterms:modified>
</cp:coreProperties>
</file>